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A15AED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A15AED">
              <w:rPr>
                <w:color w:val="000000" w:themeColor="text1"/>
              </w:rPr>
              <w:t>26</w:t>
            </w:r>
            <w:r w:rsidR="00F72F1B" w:rsidRPr="00C613BF">
              <w:rPr>
                <w:color w:val="000000" w:themeColor="text1"/>
              </w:rPr>
              <w:t xml:space="preserve"> </w:t>
            </w:r>
            <w:r w:rsidR="00A15AED">
              <w:rPr>
                <w:color w:val="000000" w:themeColor="text1"/>
              </w:rPr>
              <w:t>Haziran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0242E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C2DB5" w:rsidRPr="00C613BF">
              <w:rPr>
                <w:color w:val="000000" w:themeColor="text1"/>
              </w:rPr>
              <w:t>-</w:t>
            </w:r>
            <w:proofErr w:type="gramStart"/>
            <w:r>
              <w:rPr>
                <w:color w:val="000000" w:themeColor="text1"/>
              </w:rPr>
              <w:t>6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Temmuz</w:t>
            </w:r>
            <w:proofErr w:type="gramEnd"/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6C84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A15AED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</w:t>
            </w:r>
            <w:r w:rsidR="00F72F1B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3C1781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18-24</w:t>
            </w:r>
            <w:r w:rsidR="00CC6CC3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3C1781">
              <w:rPr>
                <w:color w:val="000000" w:themeColor="text1"/>
              </w:rPr>
              <w:t>25</w:t>
            </w:r>
            <w:r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3C1781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3C1781">
              <w:rPr>
                <w:color w:val="000000" w:themeColor="text1"/>
              </w:rPr>
              <w:t>25</w:t>
            </w:r>
            <w:r w:rsidR="00575E08">
              <w:rPr>
                <w:color w:val="000000" w:themeColor="text1"/>
              </w:rPr>
              <w:t>-</w:t>
            </w:r>
            <w:proofErr w:type="gramStart"/>
            <w:r w:rsidR="003C1781">
              <w:rPr>
                <w:color w:val="000000" w:themeColor="text1"/>
              </w:rPr>
              <w:t>31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="00C53042">
        <w:rPr>
          <w:b/>
          <w:color w:val="000000" w:themeColor="text1"/>
        </w:rPr>
        <w:t>03</w:t>
      </w:r>
      <w:r w:rsidRPr="000C41C3">
        <w:rPr>
          <w:b/>
          <w:color w:val="000000" w:themeColor="text1"/>
        </w:rPr>
        <w:t>/0</w:t>
      </w:r>
      <w:r w:rsidR="00C53042">
        <w:rPr>
          <w:b/>
          <w:color w:val="000000" w:themeColor="text1"/>
        </w:rPr>
        <w:t>5/2018</w:t>
      </w:r>
      <w:proofErr w:type="gramEnd"/>
      <w:r w:rsidR="00C53042">
        <w:rPr>
          <w:b/>
          <w:color w:val="000000" w:themeColor="text1"/>
        </w:rPr>
        <w:t xml:space="preserve"> tarih ve saat:18</w:t>
      </w:r>
      <w:r w:rsidRPr="000C41C3">
        <w:rPr>
          <w:b/>
          <w:color w:val="000000" w:themeColor="text1"/>
        </w:rPr>
        <w:t xml:space="preserve">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674CFE" w:rsidRPr="000C41C3">
        <w:rPr>
          <w:b/>
          <w:color w:val="000000" w:themeColor="text1"/>
        </w:rPr>
        <w:t>itibariyle</w:t>
      </w:r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A5" w:rsidRDefault="00E826A5" w:rsidP="00606C20">
      <w:r>
        <w:separator/>
      </w:r>
    </w:p>
  </w:endnote>
  <w:endnote w:type="continuationSeparator" w:id="0">
    <w:p w:rsidR="00E826A5" w:rsidRDefault="00E826A5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E826A5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A5" w:rsidRDefault="00E826A5" w:rsidP="00606C20">
      <w:r>
        <w:separator/>
      </w:r>
    </w:p>
  </w:footnote>
  <w:footnote w:type="continuationSeparator" w:id="0">
    <w:p w:rsidR="00E826A5" w:rsidRDefault="00E826A5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03FD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4CAA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781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15CF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75B75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5E2B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3FAD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576B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5D83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5AED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60AF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042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26A5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D70B8-BEBA-4C5F-A5B3-EE30FA9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CEA86-898D-469E-8396-1725337F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HalilALICI</cp:lastModifiedBy>
  <cp:revision>2</cp:revision>
  <cp:lastPrinted>2018-02-20T11:20:00Z</cp:lastPrinted>
  <dcterms:created xsi:type="dcterms:W3CDTF">2018-05-03T15:45:00Z</dcterms:created>
  <dcterms:modified xsi:type="dcterms:W3CDTF">2018-05-03T15:45:00Z</dcterms:modified>
</cp:coreProperties>
</file>